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AC" w:rsidRDefault="005604AC" w:rsidP="005604AC">
      <w:pPr>
        <w:spacing w:line="276" w:lineRule="auto"/>
        <w:ind w:left="10206"/>
        <w:jc w:val="center"/>
        <w:rPr>
          <w:sz w:val="24"/>
        </w:rPr>
      </w:pPr>
      <w:r>
        <w:rPr>
          <w:sz w:val="24"/>
        </w:rPr>
        <w:t>ПРИЛОЖЕНИЕ № 2</w:t>
      </w:r>
    </w:p>
    <w:p w:rsidR="005604AC" w:rsidRDefault="005604AC" w:rsidP="005604AC">
      <w:pPr>
        <w:spacing w:line="240" w:lineRule="auto"/>
        <w:ind w:left="10206" w:firstLine="12"/>
        <w:jc w:val="center"/>
        <w:rPr>
          <w:sz w:val="24"/>
        </w:rPr>
      </w:pPr>
      <w:r>
        <w:rPr>
          <w:sz w:val="24"/>
        </w:rPr>
        <w:t>к паспорту регионального проекта РД</w:t>
      </w:r>
    </w:p>
    <w:p w:rsidR="005604AC" w:rsidRDefault="005604AC" w:rsidP="005604AC">
      <w:pPr>
        <w:spacing w:line="240" w:lineRule="auto"/>
        <w:ind w:left="10206" w:firstLine="12"/>
        <w:jc w:val="center"/>
        <w:rPr>
          <w:b/>
          <w:sz w:val="24"/>
        </w:rPr>
      </w:pPr>
      <w:r>
        <w:rPr>
          <w:sz w:val="24"/>
        </w:rPr>
        <w:t>«Учитель будущего»</w:t>
      </w:r>
    </w:p>
    <w:p w:rsidR="005604AC" w:rsidRDefault="005604AC" w:rsidP="005604AC">
      <w:pPr>
        <w:spacing w:line="240" w:lineRule="auto"/>
        <w:jc w:val="center"/>
        <w:rPr>
          <w:b/>
          <w:sz w:val="24"/>
        </w:rPr>
      </w:pPr>
    </w:p>
    <w:p w:rsidR="005604AC" w:rsidRPr="005604AC" w:rsidRDefault="005604AC" w:rsidP="005604AC">
      <w:pPr>
        <w:spacing w:line="240" w:lineRule="auto"/>
        <w:jc w:val="center"/>
        <w:rPr>
          <w:b/>
          <w:sz w:val="24"/>
        </w:rPr>
      </w:pPr>
      <w:r w:rsidRPr="005604AC">
        <w:rPr>
          <w:b/>
          <w:sz w:val="24"/>
        </w:rPr>
        <w:t xml:space="preserve">Показатели регионального проекта по муниципальным образованиям </w:t>
      </w:r>
      <w:r w:rsidRPr="005604AC">
        <w:rPr>
          <w:b/>
          <w:sz w:val="24"/>
          <w:szCs w:val="24"/>
        </w:rPr>
        <w:t>Республики Дагестан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tbl>
      <w:tblPr>
        <w:tblW w:w="1481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3"/>
        <w:gridCol w:w="1843"/>
        <w:gridCol w:w="1701"/>
        <w:gridCol w:w="993"/>
        <w:gridCol w:w="992"/>
        <w:gridCol w:w="992"/>
        <w:gridCol w:w="992"/>
        <w:gridCol w:w="1381"/>
        <w:gridCol w:w="1560"/>
      </w:tblGrid>
      <w:tr w:rsidR="005604AC" w:rsidTr="005604AC">
        <w:tc>
          <w:tcPr>
            <w:tcW w:w="4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6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Период реализации регионального проекта, год</w:t>
            </w:r>
          </w:p>
        </w:tc>
      </w:tr>
      <w:tr w:rsidR="005604AC" w:rsidTr="005604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</w:tr>
      <w:tr w:rsidR="005604AC" w:rsidTr="005604AC">
        <w:tc>
          <w:tcPr>
            <w:tcW w:w="148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(показатель регионального проекта)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(муниципальное образование </w:t>
            </w:r>
            <w:r>
              <w:rPr>
                <w:sz w:val="24"/>
                <w:szCs w:val="24"/>
              </w:rPr>
              <w:t>Республики Дагестан</w:t>
            </w:r>
            <w:proofErr w:type="gramStart"/>
            <w:r>
              <w:rPr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Акушинский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Ахвахский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Ахтынский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Бабаюртовский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Гергебильский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Гумбетовский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Гунибский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Дахадаевский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Докузпаринский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Казбековский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Кайтагский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Карабудахкентский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Каякентский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Кизилюртовский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Кизлярский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Кулинский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Кумторкалинский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Курахский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Лакский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Левашинский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Магарамкентский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Новолакский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Рутульский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Сергокалинский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</w:t>
            </w:r>
            <w:proofErr w:type="spellStart"/>
            <w:r>
              <w:rPr>
                <w:color w:val="000000"/>
                <w:sz w:val="24"/>
                <w:szCs w:val="24"/>
              </w:rPr>
              <w:t>Стальский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Тарумовский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Тляратинский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Унцукульский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Хивский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Хунзахский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Цумадинский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Цунтинский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Бежтинский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Чародинский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Шамильский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ГКУ ЦОДОУ ЗОЖ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г. Буйнакск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Дагестанские Огни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Дербент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Избербаш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Каспийск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</w:t>
            </w:r>
            <w:proofErr w:type="spellStart"/>
            <w:r>
              <w:rPr>
                <w:color w:val="000000"/>
                <w:sz w:val="24"/>
                <w:szCs w:val="24"/>
              </w:rPr>
              <w:t>Кизилюрт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Кизляр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Махачкала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Хасавюрт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5604AC" w:rsidTr="005604AC"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04AC" w:rsidRDefault="0056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Южно-Сухокумск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</w:tbl>
    <w:p w:rsidR="005604AC" w:rsidRDefault="005604AC" w:rsidP="005604AC">
      <w:pPr>
        <w:spacing w:line="240" w:lineRule="auto"/>
        <w:jc w:val="center"/>
        <w:rPr>
          <w:sz w:val="24"/>
          <w:szCs w:val="24"/>
        </w:rPr>
      </w:pPr>
    </w:p>
    <w:p w:rsidR="005604AC" w:rsidRDefault="005604AC" w:rsidP="005604AC">
      <w:pPr>
        <w:spacing w:line="240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5604AC" w:rsidRDefault="005604AC" w:rsidP="005604AC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>ДОПОЛНИТЕЛЬНЫЕ ОБОСНОВЫВАЮЩИЕ МАТЕРИАЛЫ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p w:rsidR="005604AC" w:rsidRDefault="005604AC" w:rsidP="005604AC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регионального проекта Республики Дагестан</w:t>
      </w:r>
    </w:p>
    <w:p w:rsidR="005604AC" w:rsidRDefault="005604AC" w:rsidP="005604AC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«Учитель будущего»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p w:rsidR="005604AC" w:rsidRDefault="005604AC" w:rsidP="005604AC">
      <w:pPr>
        <w:spacing w:line="240" w:lineRule="auto"/>
        <w:jc w:val="center"/>
        <w:rPr>
          <w:sz w:val="24"/>
        </w:rPr>
      </w:pPr>
      <w:r>
        <w:rPr>
          <w:sz w:val="24"/>
        </w:rPr>
        <w:t xml:space="preserve">1. Модель функционирования результатов и достижения показателей регионального проекта 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p w:rsidR="005604AC" w:rsidRDefault="005604AC" w:rsidP="005604AC">
      <w:pPr>
        <w:spacing w:line="240" w:lineRule="auto"/>
        <w:ind w:firstLine="851"/>
        <w:rPr>
          <w:sz w:val="24"/>
        </w:rPr>
      </w:pPr>
      <w:r>
        <w:rPr>
          <w:sz w:val="24"/>
        </w:rPr>
        <w:t>Региональный проект «Учитель будущего» направлен на внедрение национальной системы профессионального роста</w:t>
      </w:r>
      <w:r>
        <w:rPr>
          <w:color w:val="000000"/>
          <w:sz w:val="24"/>
        </w:rPr>
        <w:t xml:space="preserve"> педагогических работников</w:t>
      </w:r>
      <w:r>
        <w:rPr>
          <w:sz w:val="24"/>
        </w:rPr>
        <w:t>, охватывающей не менее 50 % учителей общеобразовательных организаций</w:t>
      </w:r>
      <w:r>
        <w:rPr>
          <w:i/>
          <w:sz w:val="24"/>
        </w:rPr>
        <w:t>/наименование субъекта Российской Федерации/</w:t>
      </w:r>
      <w:r>
        <w:rPr>
          <w:sz w:val="24"/>
        </w:rPr>
        <w:t>.</w:t>
      </w:r>
    </w:p>
    <w:p w:rsidR="005604AC" w:rsidRDefault="005604AC" w:rsidP="005604AC">
      <w:pPr>
        <w:spacing w:line="240" w:lineRule="auto"/>
        <w:ind w:firstLine="851"/>
        <w:rPr>
          <w:sz w:val="24"/>
        </w:rPr>
      </w:pPr>
      <w:proofErr w:type="gramStart"/>
      <w:r>
        <w:rPr>
          <w:sz w:val="24"/>
        </w:rPr>
        <w:t>Результаты реализации настоящего регионального проекта окажут существенное влияние на формирование условий и создание системы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участия в профессиональных ассоциациях, программах обмена опытом и лучшими практиками, привлечения работодателей к разработке и реализации программ дополнительного профессионального образования педагогических работников, в том числе в форме стажировок.</w:t>
      </w:r>
      <w:proofErr w:type="gramEnd"/>
      <w:r>
        <w:rPr>
          <w:sz w:val="24"/>
        </w:rPr>
        <w:t xml:space="preserve"> Результаты регионального проекта позволят создать дополнительные стимулы для привлечения молодых и </w:t>
      </w:r>
      <w:proofErr w:type="gramStart"/>
      <w:r>
        <w:rPr>
          <w:sz w:val="24"/>
        </w:rPr>
        <w:t>амбициозных</w:t>
      </w:r>
      <w:proofErr w:type="gramEnd"/>
      <w:r>
        <w:rPr>
          <w:sz w:val="24"/>
        </w:rPr>
        <w:t xml:space="preserve"> специалистов в образовательные организации и, в конечном итоге, обеспечить повышение качества российского образования. 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p w:rsidR="005604AC" w:rsidRDefault="005604AC" w:rsidP="005604AC">
      <w:pPr>
        <w:spacing w:line="240" w:lineRule="auto"/>
        <w:jc w:val="center"/>
        <w:rPr>
          <w:sz w:val="24"/>
        </w:rPr>
      </w:pPr>
      <w:r>
        <w:rPr>
          <w:sz w:val="24"/>
        </w:rPr>
        <w:t xml:space="preserve">2. Методика расчета целевых показателей регионального проекта 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"/>
        <w:gridCol w:w="4051"/>
        <w:gridCol w:w="1264"/>
        <w:gridCol w:w="2101"/>
        <w:gridCol w:w="148"/>
        <w:gridCol w:w="1801"/>
        <w:gridCol w:w="1732"/>
        <w:gridCol w:w="1664"/>
        <w:gridCol w:w="1862"/>
      </w:tblGrid>
      <w:tr w:rsidR="005604AC" w:rsidTr="005604AC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Методика расчета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Базовые показатели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Источник данных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Ответственный за сбор данных 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Уровень агрегирования информации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Срок и периодичность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информация</w:t>
            </w:r>
          </w:p>
        </w:tc>
      </w:tr>
      <w:tr w:rsidR="005604AC" w:rsidTr="005604AC">
        <w:trPr>
          <w:trHeight w:val="335"/>
        </w:trPr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Доля учителей</w:t>
            </w:r>
            <w:r>
              <w:rPr>
                <w:color w:val="000000"/>
                <w:sz w:val="24"/>
              </w:rPr>
              <w:t xml:space="preserve"> о</w:t>
            </w:r>
            <w:r>
              <w:rPr>
                <w:sz w:val="24"/>
              </w:rPr>
              <w:t>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</w:tr>
      <w:tr w:rsidR="005604AC" w:rsidTr="00F05569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BB0F15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5604AC" w:rsidRDefault="005604AC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5604AC" w:rsidRDefault="005604A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5604AC" w:rsidRDefault="005604AC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– число учителей </w:t>
            </w:r>
            <w:r>
              <w:rPr>
                <w:rFonts w:eastAsia="Arial Unicode MS"/>
                <w:sz w:val="24"/>
                <w:szCs w:val="24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>
              <w:rPr>
                <w:rFonts w:eastAsia="Arial Unicode MS"/>
                <w:bCs/>
                <w:sz w:val="24"/>
                <w:szCs w:val="24"/>
              </w:rPr>
              <w:t xml:space="preserve">, </w:t>
            </w:r>
            <w:r>
              <w:rPr>
                <w:rFonts w:eastAsia="Arial Unicode MS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eastAsia="Arial Unicode MS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-ом субъекте Российской Федерации, </w:t>
            </w:r>
          </w:p>
          <w:p w:rsidR="005604AC" w:rsidRDefault="005604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val="en-US"/>
              </w:rPr>
              <w:t>Z</w:t>
            </w:r>
            <w:r>
              <w:rPr>
                <w:rFonts w:eastAsia="Arial Unicode MS"/>
                <w:sz w:val="24"/>
                <w:szCs w:val="24"/>
              </w:rPr>
              <w:t xml:space="preserve"> – общее число </w:t>
            </w:r>
            <w:r>
              <w:rPr>
                <w:sz w:val="24"/>
                <w:szCs w:val="24"/>
              </w:rPr>
              <w:t xml:space="preserve">учителей </w:t>
            </w:r>
            <w:r>
              <w:rPr>
                <w:rFonts w:eastAsia="Arial Unicode MS"/>
                <w:sz w:val="24"/>
                <w:szCs w:val="24"/>
              </w:rPr>
              <w:lastRenderedPageBreak/>
              <w:t>образовательных организаций,</w:t>
            </w:r>
          </w:p>
          <w:p w:rsidR="005604AC" w:rsidRDefault="005604AC">
            <w:pPr>
              <w:spacing w:line="240" w:lineRule="auto"/>
              <w:ind w:left="114"/>
              <w:jc w:val="left"/>
              <w:rPr>
                <w:sz w:val="24"/>
              </w:rPr>
            </w:pPr>
            <w:r>
              <w:rPr>
                <w:rFonts w:eastAsia="Arial Unicode MS"/>
                <w:sz w:val="24"/>
                <w:szCs w:val="24"/>
                <w:lang w:val="en-US"/>
              </w:rPr>
              <w:t>Y</w:t>
            </w:r>
            <w:r>
              <w:rPr>
                <w:rFonts w:eastAsia="Arial Unicode MS"/>
                <w:sz w:val="24"/>
                <w:szCs w:val="24"/>
              </w:rPr>
              <w:t xml:space="preserve"> – общее число муниципальных образований, расположенных на территории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муниципальных образований Республики Дагестан</w:t>
            </w:r>
          </w:p>
          <w:p w:rsidR="005604AC" w:rsidRDefault="005604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№ ОО-1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Министерство образования и науки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i/>
                <w:sz w:val="24"/>
              </w:rPr>
              <w:t>Республике Дагестан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5604AC" w:rsidTr="005604AC">
        <w:trPr>
          <w:trHeight w:val="335"/>
        </w:trPr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Доля муниципальных образований </w:t>
            </w:r>
            <w:r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sz w:val="24"/>
              </w:rPr>
              <w:t>аккредитационные</w:t>
            </w:r>
            <w:proofErr w:type="spellEnd"/>
            <w:r>
              <w:rPr>
                <w:sz w:val="24"/>
              </w:rPr>
              <w:t xml:space="preserve"> центры системы образования процент</w:t>
            </w:r>
          </w:p>
        </w:tc>
      </w:tr>
      <w:tr w:rsidR="005604AC" w:rsidTr="00F05569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rFonts w:ascii="Cambria Math" w:hAnsi="Cambria Math"/>
                <w:sz w:val="24"/>
              </w:rPr>
              <w:t>𝐷= 𝑅𝑖/</w:t>
            </w:r>
            <w:r>
              <w:rPr>
                <w:rFonts w:ascii="Cambria Math" w:hAnsi="Cambria Math"/>
                <w:sz w:val="24"/>
                <w:lang w:val="en-US"/>
              </w:rPr>
              <w:t>Y</w:t>
            </w:r>
            <w:r>
              <w:rPr>
                <w:rFonts w:ascii="Cambria Math" w:hAnsi="Cambria Math"/>
                <w:sz w:val="24"/>
              </w:rPr>
              <w:t>∙100%</w:t>
            </w:r>
          </w:p>
          <w:p w:rsidR="005604AC" w:rsidRDefault="005604AC">
            <w:pPr>
              <w:spacing w:line="240" w:lineRule="auto"/>
              <w:jc w:val="center"/>
              <w:rPr>
                <w:i/>
                <w:sz w:val="24"/>
              </w:rPr>
            </w:pPr>
          </w:p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где:</w:t>
            </w:r>
          </w:p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R</w:t>
            </w:r>
            <w:r>
              <w:rPr>
                <w:sz w:val="24"/>
                <w:vertAlign w:val="subscript"/>
              </w:rPr>
              <w:t>i</w:t>
            </w:r>
            <w:proofErr w:type="spellEnd"/>
            <w:r>
              <w:rPr>
                <w:sz w:val="24"/>
              </w:rPr>
              <w:t xml:space="preserve">– число муниципальных образований </w:t>
            </w:r>
            <w:r>
              <w:rPr>
                <w:sz w:val="24"/>
                <w:szCs w:val="24"/>
              </w:rPr>
              <w:t>Республики Дагестан,</w:t>
            </w:r>
            <w:r>
              <w:rPr>
                <w:sz w:val="24"/>
              </w:rPr>
              <w:t xml:space="preserve"> создавших (обновивших существующие) центры 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sz w:val="24"/>
              </w:rPr>
              <w:t>аккредитационные</w:t>
            </w:r>
            <w:proofErr w:type="spellEnd"/>
            <w:r>
              <w:rPr>
                <w:sz w:val="24"/>
              </w:rPr>
              <w:t xml:space="preserve"> центры системы образования D – доля муниципальных образований </w:t>
            </w:r>
            <w:r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sz w:val="24"/>
              </w:rPr>
              <w:t>аккредитационные</w:t>
            </w:r>
            <w:proofErr w:type="spellEnd"/>
            <w:r>
              <w:rPr>
                <w:sz w:val="24"/>
              </w:rPr>
              <w:t xml:space="preserve"> центры системы образования?</w:t>
            </w:r>
          </w:p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  <w:r>
              <w:rPr>
                <w:rFonts w:eastAsia="Arial Unicode MS"/>
                <w:sz w:val="24"/>
                <w:szCs w:val="24"/>
                <w:lang w:val="en-US"/>
              </w:rPr>
              <w:t>Y</w:t>
            </w:r>
            <w:r>
              <w:rPr>
                <w:rFonts w:eastAsia="Arial Unicode MS"/>
                <w:sz w:val="24"/>
                <w:szCs w:val="24"/>
              </w:rPr>
              <w:t xml:space="preserve"> – общее число муниципальных образований, расположенных на территории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Отчеты муниципальных образований </w:t>
            </w:r>
            <w:r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Министерство образования и науки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i/>
                <w:sz w:val="24"/>
              </w:rPr>
              <w:t>Республике Дагестан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5604AC" w:rsidTr="005604AC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Доля педагогических работников, прошедших добровольную независимую оценку профессиональной квалификации</w:t>
            </w:r>
          </w:p>
        </w:tc>
      </w:tr>
      <w:tr w:rsidR="005604AC" w:rsidTr="00F05569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BB0F15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5604AC" w:rsidRDefault="005604AC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5604AC" w:rsidRDefault="005604A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5604AC" w:rsidRDefault="005604AC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– число педагогических </w:t>
            </w:r>
            <w:r>
              <w:rPr>
                <w:sz w:val="24"/>
                <w:szCs w:val="24"/>
              </w:rPr>
              <w:lastRenderedPageBreak/>
              <w:t xml:space="preserve">работников </w:t>
            </w:r>
            <w:r>
              <w:rPr>
                <w:rFonts w:eastAsia="Arial Unicode MS"/>
                <w:sz w:val="24"/>
                <w:szCs w:val="24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>
              <w:rPr>
                <w:rFonts w:eastAsia="Arial Unicode MS"/>
                <w:bCs/>
                <w:sz w:val="24"/>
                <w:szCs w:val="24"/>
              </w:rPr>
              <w:t xml:space="preserve">, </w:t>
            </w:r>
            <w:r>
              <w:rPr>
                <w:rFonts w:eastAsia="Arial Unicode MS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eastAsia="Arial Unicode MS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-ом субъекте Российской Федерации, </w:t>
            </w:r>
          </w:p>
          <w:p w:rsidR="005604AC" w:rsidRDefault="005604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</w:rPr>
            </w:pPr>
          </w:p>
          <w:p w:rsidR="005604AC" w:rsidRDefault="005604AC">
            <w:pPr>
              <w:spacing w:line="240" w:lineRule="auto"/>
              <w:jc w:val="left"/>
              <w:rPr>
                <w:rFonts w:ascii="Cambria Math" w:hAnsi="Cambria Math"/>
                <w:sz w:val="24"/>
              </w:rPr>
            </w:pPr>
            <w:r>
              <w:rPr>
                <w:rFonts w:eastAsia="Arial Unicode MS"/>
                <w:sz w:val="24"/>
                <w:szCs w:val="24"/>
                <w:lang w:val="en-US"/>
              </w:rPr>
              <w:t>Y</w:t>
            </w:r>
            <w:r>
              <w:rPr>
                <w:rFonts w:eastAsia="Arial Unicode MS"/>
                <w:sz w:val="24"/>
                <w:szCs w:val="24"/>
              </w:rPr>
              <w:t xml:space="preserve"> – общее число </w:t>
            </w:r>
            <w:r>
              <w:rPr>
                <w:sz w:val="24"/>
                <w:szCs w:val="24"/>
              </w:rPr>
              <w:t xml:space="preserve">педагогических работников </w:t>
            </w:r>
            <w:r>
              <w:rPr>
                <w:rFonts w:eastAsia="Arial Unicode MS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Отчеты муниципальных образований </w:t>
            </w:r>
            <w:r>
              <w:rPr>
                <w:i/>
                <w:sz w:val="24"/>
              </w:rPr>
              <w:t>Республики Дагестан</w:t>
            </w:r>
          </w:p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Министерство образования и науки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i/>
                <w:sz w:val="24"/>
              </w:rPr>
              <w:t>Республики Дагестан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</w:tr>
    </w:tbl>
    <w:p w:rsidR="005604AC" w:rsidRDefault="005604AC" w:rsidP="005604AC">
      <w:pPr>
        <w:spacing w:line="240" w:lineRule="auto"/>
        <w:jc w:val="center"/>
        <w:rPr>
          <w:sz w:val="24"/>
        </w:rPr>
      </w:pPr>
    </w:p>
    <w:p w:rsidR="005604AC" w:rsidRDefault="005604AC" w:rsidP="005604AC">
      <w:pPr>
        <w:spacing w:line="240" w:lineRule="auto"/>
        <w:jc w:val="center"/>
        <w:rPr>
          <w:sz w:val="24"/>
        </w:rPr>
      </w:pPr>
      <w:r>
        <w:rPr>
          <w:sz w:val="24"/>
        </w:rPr>
        <w:t>3. Финансовое обеспечение реализации мероприятий регионального проекта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tbl>
      <w:tblPr>
        <w:tblW w:w="149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511"/>
        <w:gridCol w:w="2441"/>
        <w:gridCol w:w="1031"/>
        <w:gridCol w:w="1298"/>
        <w:gridCol w:w="1031"/>
        <w:gridCol w:w="1144"/>
      </w:tblGrid>
      <w:tr w:rsidR="005604AC" w:rsidTr="00F0556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</w:t>
            </w:r>
          </w:p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7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Наименование мероприятия и источники финансирования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Код бюджетной классификации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Всего,</w:t>
            </w:r>
          </w:p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(млн. рублей)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5604AC" w:rsidTr="00F0556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Республике Дагестан</w:t>
            </w:r>
            <w:r>
              <w:rPr>
                <w:sz w:val="24"/>
              </w:rPr>
              <w:t xml:space="preserve"> внедрена система аттестации руководителей общеобразовательных организаций </w:t>
            </w:r>
          </w:p>
          <w:p w:rsidR="005604AC" w:rsidRDefault="005604AC">
            <w:pPr>
              <w:spacing w:line="240" w:lineRule="auto"/>
              <w:rPr>
                <w:sz w:val="24"/>
              </w:rPr>
            </w:pPr>
          </w:p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</w:p>
          <w:p w:rsidR="0069123D" w:rsidRDefault="0069123D">
            <w:pPr>
              <w:spacing w:line="240" w:lineRule="auto"/>
              <w:rPr>
                <w:sz w:val="24"/>
              </w:rPr>
            </w:pPr>
          </w:p>
          <w:p w:rsidR="005604AC" w:rsidRDefault="00274E2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Создание центров непрерывного повышения профессионального мастерств</w:t>
            </w:r>
            <w:r w:rsidR="0069123D">
              <w:rPr>
                <w:sz w:val="24"/>
              </w:rPr>
              <w:t xml:space="preserve">а и квалификации педагогов </w:t>
            </w:r>
          </w:p>
          <w:p w:rsidR="0069123D" w:rsidRDefault="0069123D">
            <w:pPr>
              <w:spacing w:line="240" w:lineRule="auto"/>
              <w:rPr>
                <w:sz w:val="24"/>
              </w:rPr>
            </w:pPr>
          </w:p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</w:t>
            </w:r>
            <w:r>
              <w:rPr>
                <w:sz w:val="24"/>
              </w:rPr>
              <w:lastRenderedPageBreak/>
              <w:t>форматах непрерывного образования</w:t>
            </w:r>
          </w:p>
          <w:p w:rsidR="005604AC" w:rsidRDefault="005604AC">
            <w:pPr>
              <w:spacing w:line="240" w:lineRule="auto"/>
              <w:rPr>
                <w:sz w:val="24"/>
              </w:rPr>
            </w:pPr>
          </w:p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  <w:p w:rsidR="005604AC" w:rsidRDefault="005604AC">
            <w:pPr>
              <w:spacing w:line="240" w:lineRule="auto"/>
              <w:rPr>
                <w:sz w:val="24"/>
              </w:rPr>
            </w:pPr>
          </w:p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 менее 70 % учителей в возрасте до 35 лет вовлечены в различные формы поддержки и сопровождения в первые три года работы</w:t>
            </w:r>
          </w:p>
          <w:p w:rsidR="00BA7670" w:rsidRDefault="00BA7670">
            <w:pPr>
              <w:spacing w:line="240" w:lineRule="auto"/>
              <w:rPr>
                <w:sz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158D" w:rsidRDefault="00DE158D" w:rsidP="00DE15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DE158D" w:rsidRDefault="00DE158D" w:rsidP="00DE15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FC145A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  <w:p w:rsidR="00BA7670" w:rsidRDefault="00BA7670" w:rsidP="00DE158D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 w:rsidP="00DE158D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 w:rsidP="00DE158D">
            <w:pPr>
              <w:spacing w:line="240" w:lineRule="auto"/>
              <w:jc w:val="center"/>
              <w:rPr>
                <w:sz w:val="24"/>
              </w:rPr>
            </w:pPr>
          </w:p>
          <w:p w:rsidR="00DE158D" w:rsidRDefault="00DE158D" w:rsidP="00DE15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4AC" w:rsidRDefault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  <w:p w:rsidR="00375F88" w:rsidRDefault="00375F88">
            <w:pPr>
              <w:spacing w:line="240" w:lineRule="auto"/>
              <w:jc w:val="center"/>
              <w:rPr>
                <w:sz w:val="24"/>
              </w:rPr>
            </w:pPr>
          </w:p>
          <w:p w:rsidR="00375F88" w:rsidRDefault="00375F88">
            <w:pPr>
              <w:spacing w:line="240" w:lineRule="auto"/>
              <w:jc w:val="center"/>
              <w:rPr>
                <w:sz w:val="24"/>
              </w:rPr>
            </w:pPr>
          </w:p>
          <w:p w:rsidR="00375F88" w:rsidRDefault="00375F88">
            <w:pPr>
              <w:spacing w:line="240" w:lineRule="auto"/>
              <w:jc w:val="center"/>
              <w:rPr>
                <w:sz w:val="24"/>
              </w:rPr>
            </w:pPr>
          </w:p>
          <w:p w:rsidR="00375F88" w:rsidRDefault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60104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86,4</w:t>
            </w:r>
            <w:r w:rsidR="00AB3EBF">
              <w:rPr>
                <w:sz w:val="24"/>
              </w:rPr>
              <w:t>4</w:t>
            </w:r>
            <w:r w:rsidR="00806382">
              <w:rPr>
                <w:sz w:val="24"/>
              </w:rPr>
              <w:t>6</w:t>
            </w: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4AC" w:rsidRDefault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852B1B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</w:p>
          <w:p w:rsidR="00301E34" w:rsidRDefault="00301E3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4AC" w:rsidRDefault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</w:p>
          <w:p w:rsidR="004A42CC" w:rsidRDefault="004A42C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60104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86,4</w:t>
            </w:r>
            <w:r w:rsidR="00AB3EBF">
              <w:rPr>
                <w:sz w:val="24"/>
              </w:rPr>
              <w:t>4</w:t>
            </w:r>
            <w:r w:rsidR="00806382">
              <w:rPr>
                <w:sz w:val="24"/>
              </w:rPr>
              <w:t>6</w:t>
            </w:r>
            <w:bookmarkStart w:id="0" w:name="_GoBack"/>
            <w:bookmarkEnd w:id="0"/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BA7670" w:rsidRDefault="00BA7670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</w:p>
          <w:p w:rsidR="005113AC" w:rsidRDefault="005113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274E23" w:rsidRDefault="00274E23">
            <w:pPr>
              <w:spacing w:line="240" w:lineRule="auto"/>
              <w:jc w:val="center"/>
              <w:rPr>
                <w:sz w:val="24"/>
              </w:rPr>
            </w:pPr>
          </w:p>
          <w:p w:rsidR="00274E23" w:rsidRDefault="00274E23">
            <w:pPr>
              <w:spacing w:line="240" w:lineRule="auto"/>
              <w:jc w:val="center"/>
              <w:rPr>
                <w:sz w:val="24"/>
              </w:rPr>
            </w:pPr>
          </w:p>
          <w:p w:rsidR="00274E23" w:rsidRDefault="00274E23">
            <w:pPr>
              <w:spacing w:line="240" w:lineRule="auto"/>
              <w:jc w:val="center"/>
              <w:rPr>
                <w:sz w:val="24"/>
              </w:rPr>
            </w:pPr>
          </w:p>
          <w:p w:rsidR="00274E23" w:rsidRDefault="00274E23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604AC" w:rsidTr="00852B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Всего по региональному проекту, в том числе: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Pr="00DE158D" w:rsidRDefault="00DE158D" w:rsidP="00DE15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60104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86,4</w:t>
            </w:r>
            <w:r w:rsidR="00AB3EBF">
              <w:rPr>
                <w:sz w:val="24"/>
              </w:rPr>
              <w:t>4</w:t>
            </w:r>
            <w:r w:rsidR="00806382">
              <w:rPr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60104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AB3EB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86,44</w:t>
            </w:r>
            <w:r w:rsidR="00806382">
              <w:rPr>
                <w:sz w:val="24"/>
              </w:rPr>
              <w:t>6</w:t>
            </w:r>
          </w:p>
        </w:tc>
      </w:tr>
      <w:tr w:rsidR="005604AC" w:rsidTr="00852B1B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Pr="00DE158D" w:rsidRDefault="00DE158D" w:rsidP="00DE15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793C22" w:rsidP="00793C22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85,581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60104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604AC" w:rsidRDefault="0037002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85,58</w:t>
            </w:r>
            <w:r w:rsidR="00793C22">
              <w:rPr>
                <w:sz w:val="24"/>
              </w:rPr>
              <w:t>1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37002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0,86</w:t>
            </w:r>
            <w:r w:rsidR="00793C22">
              <w:rPr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37002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0,86</w:t>
            </w:r>
            <w:r w:rsidR="00793C22">
              <w:rPr>
                <w:sz w:val="24"/>
              </w:rPr>
              <w:t>5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604AC" w:rsidTr="00F055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AC" w:rsidRDefault="0056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5604AC" w:rsidRDefault="005604AC" w:rsidP="005604AC">
      <w:pPr>
        <w:spacing w:line="240" w:lineRule="auto"/>
        <w:jc w:val="left"/>
        <w:rPr>
          <w:color w:val="000000"/>
          <w:sz w:val="24"/>
        </w:rPr>
      </w:pPr>
    </w:p>
    <w:p w:rsidR="005604AC" w:rsidRDefault="005604AC" w:rsidP="005604AC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p w:rsidR="005604AC" w:rsidRDefault="005604AC" w:rsidP="005604AC">
      <w:pPr>
        <w:spacing w:line="240" w:lineRule="auto"/>
        <w:jc w:val="center"/>
        <w:rPr>
          <w:sz w:val="24"/>
        </w:rPr>
      </w:pPr>
      <w:r>
        <w:rPr>
          <w:sz w:val="24"/>
        </w:rPr>
        <w:lastRenderedPageBreak/>
        <w:t xml:space="preserve">4. Финансовое обеспечение реализации регионального проекта </w:t>
      </w:r>
    </w:p>
    <w:p w:rsidR="005604AC" w:rsidRDefault="005604AC" w:rsidP="005604AC">
      <w:pPr>
        <w:spacing w:line="240" w:lineRule="auto"/>
        <w:jc w:val="center"/>
        <w:rPr>
          <w:sz w:val="24"/>
          <w:szCs w:val="24"/>
        </w:rPr>
      </w:pPr>
      <w:r>
        <w:rPr>
          <w:sz w:val="24"/>
        </w:rPr>
        <w:t xml:space="preserve">по муниципальным образованиям </w:t>
      </w:r>
      <w:r>
        <w:rPr>
          <w:sz w:val="24"/>
          <w:szCs w:val="24"/>
        </w:rPr>
        <w:t>Республики Дагестан</w:t>
      </w:r>
    </w:p>
    <w:p w:rsidR="005604AC" w:rsidRDefault="005604AC" w:rsidP="005604AC">
      <w:pPr>
        <w:spacing w:line="240" w:lineRule="auto"/>
        <w:jc w:val="center"/>
        <w:rPr>
          <w:sz w:val="24"/>
        </w:rPr>
      </w:pPr>
    </w:p>
    <w:tbl>
      <w:tblPr>
        <w:tblW w:w="1500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452"/>
        <w:gridCol w:w="1559"/>
        <w:gridCol w:w="1559"/>
        <w:gridCol w:w="1559"/>
        <w:gridCol w:w="1560"/>
        <w:gridCol w:w="1628"/>
        <w:gridCol w:w="1754"/>
      </w:tblGrid>
      <w:tr w:rsidR="005604AC" w:rsidTr="005604AC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9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(млн. руб.)</w:t>
            </w:r>
          </w:p>
        </w:tc>
      </w:tr>
      <w:tr w:rsidR="005604AC" w:rsidTr="005604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AC" w:rsidRDefault="005604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AC" w:rsidRDefault="005604AC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F05569" w:rsidTr="005604A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69" w:rsidRDefault="00F05569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региональный бюджет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05569" w:rsidTr="005604A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69" w:rsidRDefault="00F055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из них межбюджетные трансферты бюджету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05569" w:rsidTr="005604A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69" w:rsidRDefault="00F055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консолидированный бюджет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05569" w:rsidTr="005604A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69" w:rsidRDefault="00F055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из них межбюджетные трансферты бюджету </w:t>
            </w:r>
            <w:r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69" w:rsidRDefault="00F05569" w:rsidP="00375F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5604AC" w:rsidRDefault="005604AC" w:rsidP="005604AC">
      <w:pPr>
        <w:spacing w:line="240" w:lineRule="auto"/>
        <w:jc w:val="left"/>
        <w:rPr>
          <w:sz w:val="24"/>
        </w:rPr>
      </w:pPr>
    </w:p>
    <w:p w:rsidR="005604AC" w:rsidRDefault="005604AC" w:rsidP="005604AC">
      <w:pPr>
        <w:spacing w:line="240" w:lineRule="auto"/>
        <w:jc w:val="center"/>
        <w:rPr>
          <w:b/>
          <w:sz w:val="24"/>
        </w:rPr>
      </w:pPr>
    </w:p>
    <w:p w:rsidR="00E53A67" w:rsidRDefault="00E53A67"/>
    <w:sectPr w:rsidR="00E53A67" w:rsidSect="00F05569">
      <w:headerReference w:type="default" r:id="rId7"/>
      <w:pgSz w:w="16838" w:h="11906" w:orient="landscape"/>
      <w:pgMar w:top="1134" w:right="820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81" w:rsidRDefault="00901B81" w:rsidP="005604AC">
      <w:pPr>
        <w:spacing w:line="240" w:lineRule="auto"/>
      </w:pPr>
      <w:r>
        <w:separator/>
      </w:r>
    </w:p>
  </w:endnote>
  <w:endnote w:type="continuationSeparator" w:id="0">
    <w:p w:rsidR="00901B81" w:rsidRDefault="00901B81" w:rsidP="005604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81" w:rsidRDefault="00901B81" w:rsidP="005604AC">
      <w:pPr>
        <w:spacing w:line="240" w:lineRule="auto"/>
      </w:pPr>
      <w:r>
        <w:separator/>
      </w:r>
    </w:p>
  </w:footnote>
  <w:footnote w:type="continuationSeparator" w:id="0">
    <w:p w:rsidR="00901B81" w:rsidRDefault="00901B81" w:rsidP="005604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395"/>
    </w:sdtPr>
    <w:sdtContent>
      <w:p w:rsidR="00BB0F15" w:rsidRDefault="00BB0F1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38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B0F15" w:rsidRDefault="00BB0F1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AC"/>
    <w:rsid w:val="000031F4"/>
    <w:rsid w:val="000D0E82"/>
    <w:rsid w:val="00274E23"/>
    <w:rsid w:val="00301E34"/>
    <w:rsid w:val="0037002E"/>
    <w:rsid w:val="00375F88"/>
    <w:rsid w:val="003804A7"/>
    <w:rsid w:val="004A42CC"/>
    <w:rsid w:val="005113AC"/>
    <w:rsid w:val="005604AC"/>
    <w:rsid w:val="00601046"/>
    <w:rsid w:val="0069123D"/>
    <w:rsid w:val="00793C22"/>
    <w:rsid w:val="007D38E6"/>
    <w:rsid w:val="00806382"/>
    <w:rsid w:val="00840C5A"/>
    <w:rsid w:val="00852B1B"/>
    <w:rsid w:val="00901B81"/>
    <w:rsid w:val="00AA2CED"/>
    <w:rsid w:val="00AB3EBF"/>
    <w:rsid w:val="00BA7670"/>
    <w:rsid w:val="00BB0F15"/>
    <w:rsid w:val="00DE158D"/>
    <w:rsid w:val="00E025CA"/>
    <w:rsid w:val="00E068A8"/>
    <w:rsid w:val="00E14F17"/>
    <w:rsid w:val="00E53A67"/>
    <w:rsid w:val="00F05569"/>
    <w:rsid w:val="00F33993"/>
    <w:rsid w:val="00FC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link w:val="10"/>
    <w:qFormat/>
    <w:rsid w:val="005604AC"/>
    <w:pPr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4AC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60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04AC"/>
    <w:rPr>
      <w:color w:val="800080" w:themeColor="followedHyperlink"/>
      <w:u w:val="single"/>
    </w:rPr>
  </w:style>
  <w:style w:type="paragraph" w:styleId="a5">
    <w:name w:val="Normal (Web)"/>
    <w:semiHidden/>
    <w:unhideWhenUsed/>
    <w:rsid w:val="005604A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link w:val="a7"/>
    <w:semiHidden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560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link w:val="a9"/>
    <w:semiHidden/>
    <w:unhideWhenUsed/>
    <w:rsid w:val="005604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semiHidden/>
    <w:rsid w:val="00560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link w:val="ab"/>
    <w:uiPriority w:val="99"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link w:val="ad"/>
    <w:semiHidden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semiHidden/>
    <w:rsid w:val="0056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annotation subject"/>
    <w:link w:val="af"/>
    <w:semiHidden/>
    <w:unhideWhenUsed/>
    <w:rsid w:val="005604A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">
    <w:name w:val="Тема примечания Знак"/>
    <w:basedOn w:val="a9"/>
    <w:link w:val="ae"/>
    <w:semiHidden/>
    <w:rsid w:val="005604A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Balloon Text"/>
    <w:link w:val="af1"/>
    <w:semiHidden/>
    <w:unhideWhenUsed/>
    <w:rsid w:val="005604AC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5604AC"/>
    <w:rPr>
      <w:rFonts w:ascii="Tahoma" w:eastAsia="Times New Roman" w:hAnsi="Tahoma" w:cs="Times New Roman"/>
      <w:sz w:val="16"/>
      <w:szCs w:val="20"/>
      <w:lang w:eastAsia="ru-RU"/>
    </w:rPr>
  </w:style>
  <w:style w:type="paragraph" w:styleId="af2">
    <w:name w:val="List Paragraph"/>
    <w:qFormat/>
    <w:rsid w:val="005604AC"/>
    <w:pPr>
      <w:spacing w:after="160" w:line="256" w:lineRule="auto"/>
      <w:ind w:left="720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Default">
    <w:name w:val="Default"/>
    <w:rsid w:val="005604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TableParagraph">
    <w:name w:val="Table Paragraph"/>
    <w:uiPriority w:val="1"/>
    <w:qFormat/>
    <w:rsid w:val="005604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f3">
    <w:name w:val="footnote reference"/>
    <w:basedOn w:val="a0"/>
    <w:uiPriority w:val="99"/>
    <w:semiHidden/>
    <w:unhideWhenUsed/>
    <w:rsid w:val="005604A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5604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link w:val="10"/>
    <w:qFormat/>
    <w:rsid w:val="005604AC"/>
    <w:pPr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4AC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60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04AC"/>
    <w:rPr>
      <w:color w:val="800080" w:themeColor="followedHyperlink"/>
      <w:u w:val="single"/>
    </w:rPr>
  </w:style>
  <w:style w:type="paragraph" w:styleId="a5">
    <w:name w:val="Normal (Web)"/>
    <w:semiHidden/>
    <w:unhideWhenUsed/>
    <w:rsid w:val="005604A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link w:val="a7"/>
    <w:semiHidden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560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link w:val="a9"/>
    <w:semiHidden/>
    <w:unhideWhenUsed/>
    <w:rsid w:val="005604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semiHidden/>
    <w:rsid w:val="00560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link w:val="ab"/>
    <w:uiPriority w:val="99"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link w:val="ad"/>
    <w:semiHidden/>
    <w:unhideWhenUsed/>
    <w:rsid w:val="005604A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semiHidden/>
    <w:rsid w:val="0056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annotation subject"/>
    <w:link w:val="af"/>
    <w:semiHidden/>
    <w:unhideWhenUsed/>
    <w:rsid w:val="005604A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">
    <w:name w:val="Тема примечания Знак"/>
    <w:basedOn w:val="a9"/>
    <w:link w:val="ae"/>
    <w:semiHidden/>
    <w:rsid w:val="005604A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Balloon Text"/>
    <w:link w:val="af1"/>
    <w:semiHidden/>
    <w:unhideWhenUsed/>
    <w:rsid w:val="005604AC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5604AC"/>
    <w:rPr>
      <w:rFonts w:ascii="Tahoma" w:eastAsia="Times New Roman" w:hAnsi="Tahoma" w:cs="Times New Roman"/>
      <w:sz w:val="16"/>
      <w:szCs w:val="20"/>
      <w:lang w:eastAsia="ru-RU"/>
    </w:rPr>
  </w:style>
  <w:style w:type="paragraph" w:styleId="af2">
    <w:name w:val="List Paragraph"/>
    <w:qFormat/>
    <w:rsid w:val="005604AC"/>
    <w:pPr>
      <w:spacing w:after="160" w:line="256" w:lineRule="auto"/>
      <w:ind w:left="720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Default">
    <w:name w:val="Default"/>
    <w:rsid w:val="005604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TableParagraph">
    <w:name w:val="Table Paragraph"/>
    <w:uiPriority w:val="1"/>
    <w:qFormat/>
    <w:rsid w:val="005604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f3">
    <w:name w:val="footnote reference"/>
    <w:basedOn w:val="a0"/>
    <w:uiPriority w:val="99"/>
    <w:semiHidden/>
    <w:unhideWhenUsed/>
    <w:rsid w:val="005604A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5604A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zumrud15k</cp:lastModifiedBy>
  <cp:revision>3</cp:revision>
  <dcterms:created xsi:type="dcterms:W3CDTF">2019-08-21T09:45:00Z</dcterms:created>
  <dcterms:modified xsi:type="dcterms:W3CDTF">2019-08-21T10:02:00Z</dcterms:modified>
</cp:coreProperties>
</file>